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9A" w:rsidRPr="005F579A" w:rsidRDefault="005F579A" w:rsidP="005F579A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Cs w:val="24"/>
          <w:u w:val="single"/>
          <w:lang w:eastAsia="sk-SK"/>
        </w:rPr>
      </w:pPr>
    </w:p>
    <w:p w:rsidR="005F579A" w:rsidRPr="005F579A" w:rsidRDefault="005F579A" w:rsidP="005F579A">
      <w:pPr>
        <w:pStyle w:val="Nadpis1"/>
        <w:numPr>
          <w:ilvl w:val="0"/>
          <w:numId w:val="0"/>
        </w:numPr>
        <w:ind w:left="780" w:hanging="360"/>
        <w:jc w:val="center"/>
        <w:rPr>
          <w:rFonts w:eastAsiaTheme="minorHAnsi"/>
          <w:u w:val="single"/>
          <w:lang w:eastAsia="sk-SK"/>
        </w:rPr>
      </w:pPr>
      <w:bookmarkStart w:id="0" w:name="_Toc49941736"/>
      <w:r w:rsidRPr="005F579A">
        <w:rPr>
          <w:rFonts w:eastAsiaTheme="minorHAnsi"/>
          <w:u w:val="single"/>
          <w:lang w:eastAsia="sk-SK"/>
        </w:rPr>
        <w:t xml:space="preserve">Lístkové kysnuté cesto- </w:t>
      </w:r>
      <w:proofErr w:type="spellStart"/>
      <w:r w:rsidRPr="005F579A">
        <w:rPr>
          <w:rFonts w:eastAsiaTheme="minorHAnsi"/>
          <w:u w:val="single"/>
          <w:lang w:eastAsia="sk-SK"/>
        </w:rPr>
        <w:t>pľundrové</w:t>
      </w:r>
      <w:proofErr w:type="spellEnd"/>
      <w:r w:rsidRPr="005F579A">
        <w:rPr>
          <w:rFonts w:eastAsiaTheme="minorHAnsi"/>
          <w:u w:val="single"/>
          <w:lang w:eastAsia="sk-SK"/>
        </w:rPr>
        <w:t>, charakteristika a výrobný postup</w:t>
      </w:r>
      <w:bookmarkEnd w:id="0"/>
    </w:p>
    <w:p w:rsidR="005F579A" w:rsidRDefault="005F579A" w:rsidP="005F579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F579A" w:rsidRDefault="005F579A" w:rsidP="005F579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F579A" w:rsidRDefault="005F579A" w:rsidP="005F579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Charakteristika: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lístkové kysnuté cesto má svetložltú farbu, je stredne tuhé, nerozteká sa. Na priereze sú svetlejšie neporušené vrstvy tuku. Chuť a vôňa sú charakteristické pre kysnuté cesto. Vyrába sa podobne ako lístkové cesto. Odlišuje sa tým, že vodové cesto je nahradené kysnutým. Lístkové kysnuté cesto je </w:t>
      </w:r>
      <w:proofErr w:type="spellStart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kyprené</w:t>
      </w:r>
      <w:proofErr w:type="spellEnd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droždím a vodnou parou.</w:t>
      </w:r>
    </w:p>
    <w:p w:rsidR="005F579A" w:rsidRDefault="005F579A" w:rsidP="005F579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Použitie </w:t>
      </w:r>
      <w:proofErr w:type="spellStart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pľundrového</w:t>
      </w:r>
      <w:proofErr w:type="spellEnd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cesta je veľmi široké, typickým predstaviteľom je </w:t>
      </w:r>
      <w:r>
        <w:rPr>
          <w:rFonts w:ascii="Times New Roman" w:eastAsia="Times New Roman" w:hAnsi="Times New Roman" w:cs="Times New Roman"/>
          <w:szCs w:val="24"/>
          <w:lang w:eastAsia="sk-SK"/>
        </w:rPr>
        <w:t>francúzsky „</w:t>
      </w:r>
      <w:proofErr w:type="spellStart"/>
      <w:r>
        <w:rPr>
          <w:rFonts w:ascii="Times New Roman" w:eastAsia="Times New Roman" w:hAnsi="Times New Roman" w:cs="Times New Roman"/>
          <w:szCs w:val="24"/>
          <w:lang w:eastAsia="sk-SK"/>
        </w:rPr>
        <w:t>croissant</w:t>
      </w:r>
      <w:proofErr w:type="spellEnd"/>
      <w:r>
        <w:rPr>
          <w:rFonts w:ascii="Times New Roman" w:eastAsia="Times New Roman" w:hAnsi="Times New Roman" w:cs="Times New Roman"/>
          <w:szCs w:val="24"/>
          <w:lang w:eastAsia="sk-SK"/>
        </w:rPr>
        <w:t>“.</w:t>
      </w:r>
    </w:p>
    <w:p w:rsidR="005F579A" w:rsidRDefault="005F579A" w:rsidP="005F579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F579A" w:rsidRDefault="005F579A" w:rsidP="005F579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Výrobný postup: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klasickú prípravu možno rozdeliť do štyroch častí:</w:t>
      </w:r>
    </w:p>
    <w:p w:rsidR="005F579A" w:rsidRDefault="005F579A" w:rsidP="005F579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F579A" w:rsidRDefault="005F579A" w:rsidP="005F579A">
      <w:pPr>
        <w:numPr>
          <w:ilvl w:val="0"/>
          <w:numId w:val="2"/>
        </w:num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príprava kysnutého cesta-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existuje niekoľko spôsobov prípravy. Líšia sa len nepatrnými rozdielmi, ktoré sú dané receptúrou.</w:t>
      </w:r>
    </w:p>
    <w:p w:rsidR="005F579A" w:rsidRDefault="005F579A" w:rsidP="005F579A">
      <w:pPr>
        <w:numPr>
          <w:ilvl w:val="0"/>
          <w:numId w:val="2"/>
        </w:num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5F579A" w:rsidRDefault="005F579A" w:rsidP="005F579A">
      <w:pPr>
        <w:numPr>
          <w:ilvl w:val="0"/>
          <w:numId w:val="2"/>
        </w:num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úprava tuku-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používa sa najmä margarín, prípadne bravčová masť. Tuk sa premiesi s múkou v pomere 4 : 1. Nechá sa v chlade odležať, aby sa spevnila jeho konzistencia.</w:t>
      </w:r>
    </w:p>
    <w:p w:rsidR="005F579A" w:rsidRDefault="005F579A" w:rsidP="005F579A">
      <w:pPr>
        <w:numPr>
          <w:ilvl w:val="0"/>
          <w:numId w:val="2"/>
        </w:num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5F579A" w:rsidRDefault="005F579A" w:rsidP="005F579A">
      <w:pPr>
        <w:numPr>
          <w:ilvl w:val="0"/>
          <w:numId w:val="2"/>
        </w:num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balenie tuku do cesta a prekladanie –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kysnuté cesto sa nahrubo rozvaľká, do stredu sa vloží tukový diel. Po zabalení tuku do cesta sa vzniknutý útvar rozvaľká a skladá. Preložené cesto sa nechá v chlade odležať.</w:t>
      </w:r>
    </w:p>
    <w:p w:rsidR="005F579A" w:rsidRDefault="005F579A" w:rsidP="005F579A">
      <w:pPr>
        <w:numPr>
          <w:ilvl w:val="0"/>
          <w:numId w:val="2"/>
        </w:num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5F579A" w:rsidRDefault="005F579A" w:rsidP="005F579A">
      <w:pPr>
        <w:numPr>
          <w:ilvl w:val="0"/>
          <w:numId w:val="2"/>
        </w:num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tvarovanie a pečenie –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spracované cesto je stredne tuhé a nerozteká sa. Rozvaľká sa na plát, povrch sa môže potierať. Z plátu sa krájajú alebo vypichujú potrebné tvary, ktoré sa ďalej plnia.</w:t>
      </w:r>
    </w:p>
    <w:p w:rsidR="005F579A" w:rsidRDefault="005F579A" w:rsidP="005F579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5F579A" w:rsidRDefault="005F579A" w:rsidP="005F579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5F579A" w:rsidRDefault="005F579A" w:rsidP="005F579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5F579A" w:rsidRDefault="005F579A" w:rsidP="005F579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5F579A" w:rsidRDefault="005F579A" w:rsidP="005F579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5F579A" w:rsidRDefault="005F579A" w:rsidP="005F579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5F579A" w:rsidRDefault="005F579A" w:rsidP="005F579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5F579A" w:rsidRDefault="005F579A" w:rsidP="005F579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>
            <wp:extent cx="2619375" cy="1743075"/>
            <wp:effectExtent l="0" t="0" r="9525" b="9525"/>
            <wp:docPr id="2" name="Obrázok 2" descr="Sladké kysnuté cesto na lístkovom puffmaffinov - ako sa šupinat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11" descr="Sladké kysnuté cesto na lístkovom puffmaffinov - ako sa šupinatý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>
            <wp:extent cx="2143125" cy="2143125"/>
            <wp:effectExtent l="0" t="0" r="9525" b="9525"/>
            <wp:docPr id="1" name="Obrázok 1" descr="Ako urobiť pľundrové cesto? | Ako a Preč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10" descr="Ako urobiť pľundrové cesto? | Ako a Prečo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C38" w:rsidRDefault="00950C38"/>
    <w:p w:rsidR="00E3058A" w:rsidRDefault="00E3058A" w:rsidP="00E3058A">
      <w:pPr>
        <w:jc w:val="left"/>
      </w:pPr>
      <w:r>
        <w:t xml:space="preserve">Pozri si video : </w:t>
      </w:r>
      <w:hyperlink r:id="rId8" w:history="1">
        <w:r w:rsidRPr="00950CB4">
          <w:rPr>
            <w:rStyle w:val="Hypertextovprepojenie"/>
          </w:rPr>
          <w:t>https://www.youtube.com/watch?v=Bh_FulBgyDM</w:t>
        </w:r>
      </w:hyperlink>
      <w:r>
        <w:t xml:space="preserve"> </w:t>
      </w:r>
      <w:bookmarkStart w:id="1" w:name="_GoBack"/>
      <w:bookmarkEnd w:id="1"/>
    </w:p>
    <w:sectPr w:rsidR="00E30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7E2C"/>
    <w:multiLevelType w:val="hybridMultilevel"/>
    <w:tmpl w:val="38A43BC6"/>
    <w:lvl w:ilvl="0" w:tplc="EFE26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9A"/>
    <w:rsid w:val="005F579A"/>
    <w:rsid w:val="00950C38"/>
    <w:rsid w:val="00E3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579A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5F579A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5F579A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579A"/>
    <w:rPr>
      <w:rFonts w:ascii="Tahoma" w:hAnsi="Tahoma" w:cs="Tahoma"/>
      <w:b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30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579A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5F579A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5F579A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579A"/>
    <w:rPr>
      <w:rFonts w:ascii="Tahoma" w:hAnsi="Tahoma" w:cs="Tahoma"/>
      <w:b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30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h_FulBgyD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2020-10-28T16:05:00Z</dcterms:created>
  <dcterms:modified xsi:type="dcterms:W3CDTF">2020-11-02T14:36:00Z</dcterms:modified>
</cp:coreProperties>
</file>